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0" w:rsidRDefault="00D42656">
      <w:r w:rsidRPr="00B05560">
        <w:rPr>
          <w:rFonts w:ascii="Apple Chancery" w:hAnsi="Apple Chancery" w:cs="Apple Chancery"/>
          <w:b/>
          <w:noProof/>
          <w:color w:val="660066"/>
          <w:sz w:val="32"/>
          <w:szCs w:val="32"/>
          <w:u w:val="double"/>
        </w:rPr>
        <w:drawing>
          <wp:anchor distT="0" distB="0" distL="114300" distR="114300" simplePos="0" relativeHeight="251659264" behindDoc="0" locked="0" layoutInCell="1" allowOverlap="1" wp14:anchorId="000C5698" wp14:editId="22626E1D">
            <wp:simplePos x="0" y="0"/>
            <wp:positionH relativeFrom="margin">
              <wp:posOffset>2057400</wp:posOffset>
            </wp:positionH>
            <wp:positionV relativeFrom="margin">
              <wp:posOffset>-685800</wp:posOffset>
            </wp:positionV>
            <wp:extent cx="1028700" cy="8001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560" w:rsidRDefault="00A068D8" w:rsidP="00D42656">
      <w:pPr>
        <w:jc w:val="center"/>
        <w:rPr>
          <w:color w:val="660066"/>
          <w:sz w:val="32"/>
          <w:szCs w:val="32"/>
          <w:u w:val="double"/>
        </w:rPr>
      </w:pPr>
      <w:proofErr w:type="spellStart"/>
      <w:r>
        <w:rPr>
          <w:color w:val="660066"/>
          <w:sz w:val="32"/>
          <w:szCs w:val="32"/>
          <w:u w:val="double"/>
        </w:rPr>
        <w:t>GDPR</w:t>
      </w:r>
      <w:proofErr w:type="spellEnd"/>
      <w:r>
        <w:rPr>
          <w:color w:val="660066"/>
          <w:sz w:val="32"/>
          <w:szCs w:val="32"/>
          <w:u w:val="double"/>
        </w:rPr>
        <w:t>, Payment and Treatment Consent</w:t>
      </w:r>
    </w:p>
    <w:p w:rsidR="0076510D" w:rsidRDefault="0076510D" w:rsidP="0076510D">
      <w:pPr>
        <w:jc w:val="center"/>
        <w:rPr>
          <w:color w:val="660066"/>
          <w:sz w:val="32"/>
          <w:szCs w:val="32"/>
          <w:u w:val="double"/>
        </w:rPr>
      </w:pPr>
    </w:p>
    <w:p w:rsidR="0076510D" w:rsidRDefault="0076510D" w:rsidP="00292457">
      <w:pPr>
        <w:jc w:val="both"/>
        <w:rPr>
          <w:sz w:val="20"/>
          <w:szCs w:val="20"/>
        </w:rPr>
      </w:pPr>
      <w:r w:rsidRPr="00BB2ED0">
        <w:rPr>
          <w:sz w:val="20"/>
          <w:szCs w:val="20"/>
        </w:rPr>
        <w:t xml:space="preserve">In order to facilitate your treatment we ask that you read and sign this </w:t>
      </w:r>
      <w:proofErr w:type="spellStart"/>
      <w:r w:rsidR="00A068D8">
        <w:rPr>
          <w:sz w:val="20"/>
          <w:szCs w:val="20"/>
        </w:rPr>
        <w:t>GDPR</w:t>
      </w:r>
      <w:proofErr w:type="spellEnd"/>
      <w:r w:rsidR="00A068D8">
        <w:rPr>
          <w:sz w:val="20"/>
          <w:szCs w:val="20"/>
        </w:rPr>
        <w:t xml:space="preserve">, treatment consent and payment agreement. </w:t>
      </w:r>
      <w:r w:rsidRPr="00BB2ED0">
        <w:rPr>
          <w:sz w:val="20"/>
          <w:szCs w:val="20"/>
        </w:rPr>
        <w:t>If you have any questions, please do not hesitate to ask.</w:t>
      </w:r>
    </w:p>
    <w:p w:rsidR="00A068D8" w:rsidRPr="00BB2ED0" w:rsidRDefault="00A068D8" w:rsidP="00292457">
      <w:pPr>
        <w:jc w:val="both"/>
        <w:rPr>
          <w:sz w:val="20"/>
          <w:szCs w:val="20"/>
        </w:rPr>
      </w:pPr>
    </w:p>
    <w:p w:rsidR="00A068D8" w:rsidRDefault="00A068D8" w:rsidP="00A068D8">
      <w:pPr>
        <w:jc w:val="both"/>
        <w:rPr>
          <w:b/>
          <w:sz w:val="20"/>
          <w:szCs w:val="20"/>
          <w:u w:val="single"/>
        </w:rPr>
      </w:pPr>
      <w:r w:rsidRPr="00BB2ED0">
        <w:rPr>
          <w:b/>
          <w:sz w:val="20"/>
          <w:szCs w:val="20"/>
          <w:u w:val="single"/>
        </w:rPr>
        <w:t>Data Protection</w:t>
      </w:r>
    </w:p>
    <w:p w:rsidR="00A068D8" w:rsidRDefault="00A068D8" w:rsidP="00A068D8">
      <w:pPr>
        <w:jc w:val="both"/>
        <w:rPr>
          <w:sz w:val="20"/>
          <w:szCs w:val="20"/>
        </w:rPr>
      </w:pPr>
      <w:r w:rsidRPr="00A068D8">
        <w:rPr>
          <w:b/>
          <w:sz w:val="20"/>
          <w:szCs w:val="20"/>
        </w:rPr>
        <w:t>Explicit Data Processing involving Consultation, Examination and Treatment Consent</w:t>
      </w:r>
      <w:r w:rsidRPr="00A068D8">
        <w:rPr>
          <w:sz w:val="20"/>
          <w:szCs w:val="20"/>
        </w:rPr>
        <w:t xml:space="preserve">  </w:t>
      </w:r>
    </w:p>
    <w:p w:rsidR="00A068D8" w:rsidRPr="00A068D8" w:rsidRDefault="00A068D8" w:rsidP="00A068D8">
      <w:pPr>
        <w:jc w:val="both"/>
        <w:rPr>
          <w:sz w:val="20"/>
          <w:szCs w:val="20"/>
        </w:rPr>
      </w:pPr>
      <w:r w:rsidRPr="00A068D8">
        <w:rPr>
          <w:sz w:val="20"/>
          <w:szCs w:val="20"/>
        </w:rPr>
        <w:t xml:space="preserve">I hereby explicitly consent to the data processing involving the consultation, examination and treatment provided by practitioners at </w:t>
      </w:r>
      <w:proofErr w:type="spellStart"/>
      <w:r w:rsidRPr="00A068D8">
        <w:rPr>
          <w:sz w:val="20"/>
          <w:szCs w:val="20"/>
        </w:rPr>
        <w:t>Trinitas</w:t>
      </w:r>
      <w:proofErr w:type="spellEnd"/>
      <w:r w:rsidRPr="00A068D8">
        <w:rPr>
          <w:sz w:val="20"/>
          <w:szCs w:val="20"/>
        </w:rPr>
        <w:t xml:space="preserve"> Osteopathic Clinic. Further verbal informed consent will be sort before treatment techniques and will be documented in my notes. </w:t>
      </w:r>
    </w:p>
    <w:p w:rsidR="00A068D8" w:rsidRPr="00BB2ED0" w:rsidRDefault="00A068D8" w:rsidP="00A068D8">
      <w:pPr>
        <w:jc w:val="both"/>
        <w:rPr>
          <w:b/>
          <w:sz w:val="20"/>
          <w:szCs w:val="20"/>
          <w:u w:val="single"/>
        </w:rPr>
      </w:pPr>
    </w:p>
    <w:p w:rsidR="00A068D8" w:rsidRPr="00A068D8" w:rsidRDefault="00A068D8" w:rsidP="00A068D8">
      <w:pPr>
        <w:jc w:val="both"/>
        <w:rPr>
          <w:b/>
          <w:sz w:val="20"/>
          <w:szCs w:val="20"/>
        </w:rPr>
      </w:pPr>
      <w:r w:rsidRPr="00A068D8">
        <w:rPr>
          <w:b/>
          <w:sz w:val="20"/>
          <w:szCs w:val="20"/>
        </w:rPr>
        <w:t>Future Appointments preferred Communication route</w:t>
      </w:r>
    </w:p>
    <w:p w:rsidR="00A068D8" w:rsidRPr="00BB2ED0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Telephone</w:t>
      </w:r>
      <w:r>
        <w:rPr>
          <w:sz w:val="20"/>
          <w:szCs w:val="20"/>
        </w:rPr>
        <w:t xml:space="preserve"> </w:t>
      </w:r>
    </w:p>
    <w:p w:rsidR="00A068D8" w:rsidRPr="00BB2ED0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Text</w:t>
      </w:r>
    </w:p>
    <w:p w:rsidR="00A068D8" w:rsidRPr="00BB2ED0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Email</w:t>
      </w:r>
    </w:p>
    <w:p w:rsidR="00A068D8" w:rsidRPr="00BB2ED0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Facebook</w:t>
      </w:r>
    </w:p>
    <w:p w:rsidR="00A068D8" w:rsidRPr="00BB2ED0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Other</w:t>
      </w:r>
    </w:p>
    <w:p w:rsidR="00A068D8" w:rsidRPr="00BB2ED0" w:rsidRDefault="00A068D8" w:rsidP="00A068D8">
      <w:pPr>
        <w:jc w:val="both"/>
        <w:rPr>
          <w:sz w:val="20"/>
          <w:szCs w:val="20"/>
        </w:rPr>
      </w:pPr>
    </w:p>
    <w:p w:rsidR="00A068D8" w:rsidRDefault="00A068D8" w:rsidP="00A068D8">
      <w:pPr>
        <w:jc w:val="both"/>
        <w:rPr>
          <w:b/>
          <w:sz w:val="20"/>
          <w:szCs w:val="20"/>
        </w:rPr>
      </w:pPr>
      <w:r w:rsidRPr="00A068D8">
        <w:rPr>
          <w:b/>
          <w:sz w:val="20"/>
          <w:szCs w:val="20"/>
        </w:rPr>
        <w:t xml:space="preserve">Promotional Communication </w:t>
      </w:r>
    </w:p>
    <w:p w:rsidR="00A068D8" w:rsidRPr="00A068D8" w:rsidRDefault="00A068D8" w:rsidP="00A068D8">
      <w:pPr>
        <w:jc w:val="both"/>
        <w:rPr>
          <w:sz w:val="20"/>
          <w:szCs w:val="20"/>
        </w:rPr>
      </w:pPr>
      <w:r w:rsidRPr="00A068D8">
        <w:rPr>
          <w:sz w:val="20"/>
          <w:szCs w:val="20"/>
        </w:rPr>
        <w:t xml:space="preserve">For the purposes of promoting healthcare including offers and advice, </w:t>
      </w:r>
      <w:proofErr w:type="spellStart"/>
      <w:r w:rsidRPr="00A068D8">
        <w:rPr>
          <w:sz w:val="20"/>
          <w:szCs w:val="20"/>
        </w:rPr>
        <w:t>Trinitas</w:t>
      </w:r>
      <w:proofErr w:type="spellEnd"/>
      <w:r w:rsidRPr="00A068D8">
        <w:rPr>
          <w:sz w:val="20"/>
          <w:szCs w:val="20"/>
        </w:rPr>
        <w:t xml:space="preserve"> Osteopathic Clinic also like to stay in touch with you with information that may of interest to your family and friends.  </w:t>
      </w:r>
      <w:r>
        <w:rPr>
          <w:sz w:val="20"/>
          <w:szCs w:val="20"/>
        </w:rPr>
        <w:t xml:space="preserve">Please follow and like our Facebook page </w:t>
      </w:r>
      <w:hyperlink r:id="rId9" w:history="1">
        <w:r w:rsidRPr="00A068D8">
          <w:rPr>
            <w:rStyle w:val="Hyperlink"/>
            <w:i/>
            <w:sz w:val="16"/>
            <w:szCs w:val="16"/>
          </w:rPr>
          <w:t>https://www.facebook.com/TrinitasOsteopathicClinic/</w:t>
        </w:r>
      </w:hyperlink>
      <w:r>
        <w:rPr>
          <w:sz w:val="20"/>
          <w:szCs w:val="20"/>
        </w:rPr>
        <w:t xml:space="preserve"> </w:t>
      </w:r>
    </w:p>
    <w:p w:rsidR="00A068D8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Accept</w:t>
      </w:r>
    </w:p>
    <w:p w:rsidR="00A068D8" w:rsidRDefault="00A068D8" w:rsidP="00A068D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Decline</w:t>
      </w:r>
      <w:r>
        <w:rPr>
          <w:sz w:val="20"/>
          <w:szCs w:val="20"/>
        </w:rPr>
        <w:t xml:space="preserve"> </w:t>
      </w:r>
    </w:p>
    <w:p w:rsidR="00A068D8" w:rsidRPr="00BB2ED0" w:rsidRDefault="00A068D8" w:rsidP="00A068D8">
      <w:pPr>
        <w:pStyle w:val="ListParagraph"/>
        <w:jc w:val="both"/>
        <w:rPr>
          <w:sz w:val="20"/>
          <w:szCs w:val="20"/>
        </w:rPr>
      </w:pPr>
    </w:p>
    <w:p w:rsidR="0076510D" w:rsidRPr="004224F9" w:rsidRDefault="00A068D8" w:rsidP="00292457">
      <w:pPr>
        <w:jc w:val="both"/>
        <w:rPr>
          <w:b/>
          <w:sz w:val="20"/>
          <w:szCs w:val="20"/>
          <w:u w:val="single"/>
        </w:rPr>
      </w:pPr>
      <w:r w:rsidRPr="004224F9">
        <w:rPr>
          <w:b/>
          <w:sz w:val="20"/>
          <w:szCs w:val="20"/>
          <w:u w:val="single"/>
        </w:rPr>
        <w:t>Payment Agreement</w:t>
      </w:r>
    </w:p>
    <w:p w:rsidR="0076510D" w:rsidRPr="00BB2ED0" w:rsidRDefault="0076510D" w:rsidP="0029245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>Treatment fees are to be paid on a ‘pay as you go service’ and you are responsible for payment via card, BACS transfer or cash.</w:t>
      </w:r>
    </w:p>
    <w:p w:rsidR="0076510D" w:rsidRPr="00BB2ED0" w:rsidRDefault="0076510D" w:rsidP="0029245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 xml:space="preserve">If you are using medical insurance a pre-approved </w:t>
      </w:r>
      <w:proofErr w:type="spellStart"/>
      <w:r w:rsidRPr="00BB2ED0">
        <w:rPr>
          <w:sz w:val="20"/>
          <w:szCs w:val="20"/>
        </w:rPr>
        <w:t>autorisation</w:t>
      </w:r>
      <w:proofErr w:type="spellEnd"/>
      <w:r w:rsidRPr="00BB2ED0">
        <w:rPr>
          <w:sz w:val="20"/>
          <w:szCs w:val="20"/>
        </w:rPr>
        <w:t xml:space="preserve"> </w:t>
      </w:r>
      <w:r w:rsidR="00D42656" w:rsidRPr="00BB2ED0">
        <w:rPr>
          <w:sz w:val="20"/>
          <w:szCs w:val="20"/>
        </w:rPr>
        <w:t xml:space="preserve">code </w:t>
      </w:r>
      <w:r w:rsidRPr="00BB2ED0">
        <w:rPr>
          <w:sz w:val="20"/>
          <w:szCs w:val="20"/>
        </w:rPr>
        <w:t>for treatment must be obtained.</w:t>
      </w:r>
    </w:p>
    <w:p w:rsidR="0076510D" w:rsidRPr="00BB2ED0" w:rsidRDefault="0076510D" w:rsidP="0029245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 xml:space="preserve">Understand that as a patient at Trinitas Osteopathic Clinic, you must give 24 </w:t>
      </w:r>
      <w:proofErr w:type="spellStart"/>
      <w:r w:rsidRPr="00BB2ED0">
        <w:rPr>
          <w:sz w:val="20"/>
          <w:szCs w:val="20"/>
        </w:rPr>
        <w:t>hrs</w:t>
      </w:r>
      <w:proofErr w:type="spellEnd"/>
      <w:r w:rsidRPr="00BB2ED0">
        <w:rPr>
          <w:sz w:val="20"/>
          <w:szCs w:val="20"/>
        </w:rPr>
        <w:t xml:space="preserve"> </w:t>
      </w:r>
      <w:proofErr w:type="gramStart"/>
      <w:r w:rsidRPr="00BB2ED0">
        <w:rPr>
          <w:sz w:val="20"/>
          <w:szCs w:val="20"/>
        </w:rPr>
        <w:t>notice</w:t>
      </w:r>
      <w:proofErr w:type="gramEnd"/>
      <w:r w:rsidRPr="00BB2ED0">
        <w:rPr>
          <w:sz w:val="20"/>
          <w:szCs w:val="20"/>
        </w:rPr>
        <w:t xml:space="preserve"> if you wish to cancel your appointment. </w:t>
      </w:r>
      <w:r w:rsidR="00630476" w:rsidRPr="00BB2ED0">
        <w:rPr>
          <w:sz w:val="20"/>
          <w:szCs w:val="20"/>
        </w:rPr>
        <w:t>Failure to cancel your appointment in a timely manner will result in a cancellation charge of 50% of the treatment cost.</w:t>
      </w:r>
    </w:p>
    <w:p w:rsidR="00630476" w:rsidRPr="00BB2ED0" w:rsidRDefault="00630476" w:rsidP="0029245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ED0">
        <w:rPr>
          <w:sz w:val="20"/>
          <w:szCs w:val="20"/>
        </w:rPr>
        <w:t xml:space="preserve">Understand that failure to pay may result in </w:t>
      </w:r>
      <w:r w:rsidR="00292457" w:rsidRPr="00BB2ED0">
        <w:rPr>
          <w:sz w:val="20"/>
          <w:szCs w:val="20"/>
        </w:rPr>
        <w:t>y</w:t>
      </w:r>
      <w:r w:rsidRPr="00BB2ED0">
        <w:rPr>
          <w:sz w:val="20"/>
          <w:szCs w:val="20"/>
        </w:rPr>
        <w:t>our account being turned over to an external collection agency and you will be responsible for any incurring fees such as collection agency fees, solicitor fees and/or court costs.</w:t>
      </w:r>
    </w:p>
    <w:p w:rsidR="00630476" w:rsidRPr="00BB2ED0" w:rsidRDefault="00630476" w:rsidP="00292457">
      <w:pPr>
        <w:pStyle w:val="ListParagraph"/>
        <w:jc w:val="both"/>
        <w:rPr>
          <w:sz w:val="20"/>
          <w:szCs w:val="20"/>
        </w:rPr>
      </w:pPr>
    </w:p>
    <w:p w:rsidR="00630476" w:rsidRPr="004224F9" w:rsidRDefault="00630476" w:rsidP="004224F9">
      <w:pPr>
        <w:jc w:val="both"/>
        <w:rPr>
          <w:b/>
          <w:sz w:val="20"/>
          <w:szCs w:val="20"/>
        </w:rPr>
      </w:pPr>
      <w:r w:rsidRPr="004224F9">
        <w:rPr>
          <w:b/>
          <w:sz w:val="20"/>
          <w:szCs w:val="20"/>
        </w:rPr>
        <w:t>Payment method</w:t>
      </w:r>
    </w:p>
    <w:p w:rsidR="00630476" w:rsidRPr="00BB2ED0" w:rsidRDefault="00630476" w:rsidP="00292457">
      <w:pPr>
        <w:ind w:left="360"/>
        <w:jc w:val="both"/>
        <w:rPr>
          <w:sz w:val="20"/>
          <w:szCs w:val="20"/>
        </w:rPr>
      </w:pPr>
    </w:p>
    <w:p w:rsidR="00630476" w:rsidRPr="00BB2ED0" w:rsidRDefault="00630476" w:rsidP="00292457">
      <w:pPr>
        <w:ind w:left="360"/>
        <w:jc w:val="both"/>
        <w:rPr>
          <w:rFonts w:eastAsia="MS Gothic" w:cs="Menlo Bold"/>
          <w:color w:val="000000"/>
          <w:sz w:val="20"/>
          <w:szCs w:val="20"/>
        </w:rPr>
      </w:pPr>
      <w:r w:rsidRPr="00BB2ED0">
        <w:rPr>
          <w:rFonts w:ascii="Menlo Bold" w:eastAsia="MS Gothic" w:hAnsi="Menlo Bold" w:cs="Menlo Bold"/>
          <w:color w:val="000000"/>
          <w:sz w:val="20"/>
          <w:szCs w:val="20"/>
        </w:rPr>
        <w:t xml:space="preserve">☐ </w:t>
      </w:r>
      <w:r w:rsidRPr="00BB2ED0">
        <w:rPr>
          <w:rFonts w:eastAsia="MS Gothic" w:cs="Menlo Bold"/>
          <w:color w:val="000000"/>
          <w:sz w:val="20"/>
          <w:szCs w:val="20"/>
        </w:rPr>
        <w:t>Self payment</w:t>
      </w:r>
      <w:r w:rsidRPr="00BB2ED0">
        <w:rPr>
          <w:rFonts w:eastAsia="MS Gothic" w:cs="Menlo Bold"/>
          <w:color w:val="000000"/>
          <w:sz w:val="20"/>
          <w:szCs w:val="20"/>
        </w:rPr>
        <w:tab/>
      </w:r>
      <w:r w:rsidRPr="00BB2ED0">
        <w:rPr>
          <w:rFonts w:eastAsia="MS Gothic" w:cs="Menlo Bold"/>
          <w:color w:val="000000"/>
          <w:sz w:val="20"/>
          <w:szCs w:val="20"/>
        </w:rPr>
        <w:tab/>
      </w:r>
      <w:r w:rsidRPr="00BB2ED0">
        <w:rPr>
          <w:rFonts w:eastAsia="MS Gothic" w:cs="Menlo Bold"/>
          <w:color w:val="000000"/>
          <w:sz w:val="20"/>
          <w:szCs w:val="20"/>
        </w:rPr>
        <w:tab/>
      </w:r>
      <w:r w:rsidRPr="00BB2ED0">
        <w:rPr>
          <w:rFonts w:eastAsia="MS Gothic" w:cs="Menlo Bold"/>
          <w:color w:val="000000"/>
          <w:sz w:val="20"/>
          <w:szCs w:val="20"/>
        </w:rPr>
        <w:tab/>
      </w:r>
      <w:r w:rsidRPr="00BB2ED0">
        <w:rPr>
          <w:rFonts w:ascii="Menlo Bold" w:eastAsia="MS Gothic" w:hAnsi="Menlo Bold" w:cs="Menlo Bold"/>
          <w:color w:val="000000"/>
          <w:sz w:val="20"/>
          <w:szCs w:val="20"/>
        </w:rPr>
        <w:t xml:space="preserve">☐ </w:t>
      </w:r>
      <w:r w:rsidRPr="00BB2ED0">
        <w:rPr>
          <w:rFonts w:eastAsia="MS Gothic" w:cs="Menlo Bold"/>
          <w:color w:val="000000"/>
          <w:sz w:val="20"/>
          <w:szCs w:val="20"/>
        </w:rPr>
        <w:t>Health Insurance</w:t>
      </w:r>
    </w:p>
    <w:p w:rsidR="00630476" w:rsidRPr="00BB2ED0" w:rsidRDefault="00630476" w:rsidP="00292457">
      <w:pPr>
        <w:ind w:left="360"/>
        <w:jc w:val="both"/>
        <w:rPr>
          <w:rFonts w:eastAsia="MS Gothic" w:cs="Menlo Bold"/>
          <w:color w:val="00000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09"/>
        <w:gridCol w:w="4047"/>
      </w:tblGrid>
      <w:tr w:rsidR="00630476" w:rsidRPr="00BB2ED0" w:rsidTr="00630476"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  <w:r w:rsidRPr="00BB2ED0">
              <w:rPr>
                <w:sz w:val="20"/>
                <w:szCs w:val="20"/>
              </w:rPr>
              <w:t>Health Insurance Company</w:t>
            </w:r>
            <w:r w:rsidR="00292457" w:rsidRPr="00BB2ED0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</w:p>
        </w:tc>
      </w:tr>
      <w:tr w:rsidR="00630476" w:rsidRPr="00BB2ED0" w:rsidTr="00630476"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  <w:r w:rsidRPr="00BB2ED0">
              <w:rPr>
                <w:sz w:val="20"/>
                <w:szCs w:val="20"/>
              </w:rPr>
              <w:t>Policy Number</w:t>
            </w:r>
          </w:p>
        </w:tc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</w:p>
        </w:tc>
      </w:tr>
      <w:tr w:rsidR="00630476" w:rsidRPr="00BB2ED0" w:rsidTr="00630476"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  <w:proofErr w:type="spellStart"/>
            <w:r w:rsidRPr="00BB2ED0">
              <w:rPr>
                <w:sz w:val="20"/>
                <w:szCs w:val="20"/>
              </w:rPr>
              <w:t>Authorisation</w:t>
            </w:r>
            <w:proofErr w:type="spellEnd"/>
            <w:r w:rsidRPr="00BB2ED0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4258" w:type="dxa"/>
          </w:tcPr>
          <w:p w:rsidR="00630476" w:rsidRPr="00BB2ED0" w:rsidRDefault="00630476" w:rsidP="00292457">
            <w:pPr>
              <w:jc w:val="both"/>
              <w:rPr>
                <w:sz w:val="20"/>
                <w:szCs w:val="20"/>
              </w:rPr>
            </w:pPr>
          </w:p>
        </w:tc>
      </w:tr>
    </w:tbl>
    <w:p w:rsidR="00292457" w:rsidRPr="00BB2ED0" w:rsidRDefault="00292457" w:rsidP="004224F9">
      <w:pPr>
        <w:jc w:val="both"/>
        <w:rPr>
          <w:sz w:val="20"/>
          <w:szCs w:val="20"/>
        </w:rPr>
      </w:pPr>
    </w:p>
    <w:p w:rsidR="00292457" w:rsidRPr="00BB2ED0" w:rsidRDefault="003A1A50" w:rsidP="004224F9">
      <w:pPr>
        <w:jc w:val="both"/>
        <w:rPr>
          <w:sz w:val="20"/>
          <w:szCs w:val="20"/>
        </w:rPr>
      </w:pPr>
      <w:r w:rsidRPr="00BB2ED0">
        <w:rPr>
          <w:sz w:val="20"/>
          <w:szCs w:val="20"/>
        </w:rPr>
        <w:t xml:space="preserve">I </w:t>
      </w:r>
      <w:r w:rsidR="00A068D8">
        <w:rPr>
          <w:sz w:val="20"/>
          <w:szCs w:val="20"/>
        </w:rPr>
        <w:t xml:space="preserve">understand this data protection, treatment consent and payment agreement </w:t>
      </w:r>
      <w:r w:rsidRPr="00BB2ED0">
        <w:rPr>
          <w:sz w:val="20"/>
          <w:szCs w:val="20"/>
        </w:rPr>
        <w:t xml:space="preserve">form and I give explicit consent for </w:t>
      </w:r>
      <w:proofErr w:type="spellStart"/>
      <w:r w:rsidRPr="00BB2ED0">
        <w:rPr>
          <w:sz w:val="20"/>
          <w:szCs w:val="20"/>
        </w:rPr>
        <w:t>Trinitas</w:t>
      </w:r>
      <w:proofErr w:type="spellEnd"/>
      <w:r w:rsidRPr="00BB2ED0">
        <w:rPr>
          <w:sz w:val="20"/>
          <w:szCs w:val="20"/>
        </w:rPr>
        <w:t xml:space="preserve"> Clinic to create and maintain medical health records, including details of physical and mental health, medications, examination and treatment records. </w:t>
      </w:r>
      <w:r w:rsidR="00A97D2C" w:rsidRPr="004224F9">
        <w:rPr>
          <w:sz w:val="20"/>
          <w:szCs w:val="20"/>
        </w:rPr>
        <w:t>You</w:t>
      </w:r>
      <w:r w:rsidR="00A97D2C">
        <w:rPr>
          <w:sz w:val="20"/>
          <w:szCs w:val="20"/>
        </w:rPr>
        <w:t>r</w:t>
      </w:r>
      <w:r w:rsidR="00A97D2C" w:rsidRPr="004224F9">
        <w:rPr>
          <w:sz w:val="20"/>
          <w:szCs w:val="20"/>
        </w:rPr>
        <w:t xml:space="preserve"> data will undoubtedly be kept safe and secure at the clinic address, which will be  saved in an encry</w:t>
      </w:r>
      <w:r w:rsidR="00A97D2C">
        <w:rPr>
          <w:sz w:val="20"/>
          <w:szCs w:val="20"/>
        </w:rPr>
        <w:t>pted and password protected database</w:t>
      </w:r>
      <w:r w:rsidR="00A97D2C" w:rsidRPr="004224F9">
        <w:rPr>
          <w:sz w:val="20"/>
          <w:szCs w:val="20"/>
        </w:rPr>
        <w:t>, known only to the practitioner</w:t>
      </w:r>
      <w:r w:rsidR="00A97D2C">
        <w:rPr>
          <w:sz w:val="20"/>
          <w:szCs w:val="20"/>
        </w:rPr>
        <w:t>.</w:t>
      </w:r>
      <w:r w:rsidR="00A97D2C" w:rsidRPr="004224F9">
        <w:rPr>
          <w:sz w:val="20"/>
          <w:szCs w:val="20"/>
        </w:rPr>
        <w:t xml:space="preserve"> </w:t>
      </w:r>
      <w:r w:rsidR="004224F9">
        <w:rPr>
          <w:sz w:val="20"/>
          <w:szCs w:val="20"/>
        </w:rPr>
        <w:t xml:space="preserve">Verbal and written consent will be sort and documented in your notes for </w:t>
      </w:r>
      <w:r w:rsidR="004224F9" w:rsidRPr="004224F9">
        <w:rPr>
          <w:sz w:val="20"/>
          <w:szCs w:val="20"/>
        </w:rPr>
        <w:t xml:space="preserve">specialist referrals via a letter </w:t>
      </w:r>
      <w:r w:rsidR="004224F9">
        <w:rPr>
          <w:sz w:val="20"/>
          <w:szCs w:val="20"/>
        </w:rPr>
        <w:t xml:space="preserve">and sent by secure email. </w:t>
      </w:r>
      <w:r w:rsidR="004224F9" w:rsidRPr="004224F9">
        <w:rPr>
          <w:sz w:val="20"/>
          <w:szCs w:val="20"/>
        </w:rPr>
        <w:t>Your data will be kept for 8 years or if you are a minor until you are 25 years</w:t>
      </w:r>
      <w:r w:rsidR="004224F9">
        <w:rPr>
          <w:sz w:val="20"/>
          <w:szCs w:val="20"/>
        </w:rPr>
        <w:t xml:space="preserve"> of age in line with the General Osteopathic C</w:t>
      </w:r>
      <w:r w:rsidR="004224F9" w:rsidRPr="004224F9">
        <w:rPr>
          <w:sz w:val="20"/>
          <w:szCs w:val="20"/>
        </w:rPr>
        <w:t>ouncil protocol and UK law.  </w:t>
      </w:r>
      <w:r w:rsidR="000701CD" w:rsidRPr="00BB2ED0">
        <w:rPr>
          <w:sz w:val="20"/>
          <w:szCs w:val="20"/>
        </w:rPr>
        <w:t xml:space="preserve">I understand that these records will be processed in accordance with </w:t>
      </w:r>
      <w:proofErr w:type="spellStart"/>
      <w:r w:rsidR="000701CD" w:rsidRPr="00BB2ED0">
        <w:rPr>
          <w:sz w:val="20"/>
          <w:szCs w:val="20"/>
        </w:rPr>
        <w:t>Trinitas</w:t>
      </w:r>
      <w:proofErr w:type="spellEnd"/>
      <w:r w:rsidR="000701CD" w:rsidRPr="00BB2ED0">
        <w:rPr>
          <w:sz w:val="20"/>
          <w:szCs w:val="20"/>
        </w:rPr>
        <w:t xml:space="preserve"> Clinic GDPR 2018 policy notice, a copy of which is on file and you can request to see. </w:t>
      </w:r>
    </w:p>
    <w:p w:rsidR="00292457" w:rsidRPr="00BB2ED0" w:rsidRDefault="00522050" w:rsidP="000701CD">
      <w:pPr>
        <w:jc w:val="both"/>
        <w:rPr>
          <w:sz w:val="20"/>
          <w:szCs w:val="20"/>
        </w:rPr>
      </w:pPr>
      <w:r w:rsidRPr="00BB2ED0">
        <w:rPr>
          <w:sz w:val="20"/>
          <w:szCs w:val="20"/>
        </w:rPr>
        <w:tab/>
      </w:r>
      <w:r w:rsidRPr="00BB2ED0">
        <w:rPr>
          <w:sz w:val="20"/>
          <w:szCs w:val="20"/>
        </w:rPr>
        <w:tab/>
      </w:r>
      <w:r w:rsidRPr="00BB2ED0">
        <w:rPr>
          <w:sz w:val="20"/>
          <w:szCs w:val="20"/>
        </w:rPr>
        <w:tab/>
      </w:r>
      <w:r w:rsidRPr="00BB2ED0">
        <w:rPr>
          <w:sz w:val="20"/>
          <w:szCs w:val="20"/>
        </w:rPr>
        <w:tab/>
      </w:r>
      <w:r w:rsidR="00292457" w:rsidRPr="00BB2ED0">
        <w:rPr>
          <w:sz w:val="20"/>
          <w:szCs w:val="20"/>
        </w:rPr>
        <w:t xml:space="preserve"> </w:t>
      </w:r>
    </w:p>
    <w:sectPr w:rsidR="00292457" w:rsidRPr="00BB2ED0" w:rsidSect="002C1B23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C6" w:rsidRDefault="002165C6" w:rsidP="004224F9">
      <w:r>
        <w:separator/>
      </w:r>
    </w:p>
  </w:endnote>
  <w:endnote w:type="continuationSeparator" w:id="0">
    <w:p w:rsidR="002165C6" w:rsidRDefault="002165C6" w:rsidP="004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9" w:rsidRDefault="004224F9">
    <w:pPr>
      <w:pStyle w:val="Footer"/>
    </w:pPr>
    <w:r>
      <w:t>Sign:                                                   Name:</w:t>
    </w:r>
    <w:r>
      <w:tab/>
      <w:t xml:space="preserve">                                                              Date: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C6" w:rsidRDefault="002165C6" w:rsidP="004224F9">
      <w:r>
        <w:separator/>
      </w:r>
    </w:p>
  </w:footnote>
  <w:footnote w:type="continuationSeparator" w:id="0">
    <w:p w:rsidR="002165C6" w:rsidRDefault="002165C6" w:rsidP="0042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D750D8"/>
    <w:multiLevelType w:val="hybridMultilevel"/>
    <w:tmpl w:val="580C3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D1CA5"/>
    <w:multiLevelType w:val="hybridMultilevel"/>
    <w:tmpl w:val="497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3EB5"/>
    <w:multiLevelType w:val="hybridMultilevel"/>
    <w:tmpl w:val="EF5A0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0"/>
    <w:rsid w:val="000701CD"/>
    <w:rsid w:val="002165C6"/>
    <w:rsid w:val="00292457"/>
    <w:rsid w:val="002C1B23"/>
    <w:rsid w:val="00382E2F"/>
    <w:rsid w:val="003A1A50"/>
    <w:rsid w:val="004224F9"/>
    <w:rsid w:val="00522050"/>
    <w:rsid w:val="00630476"/>
    <w:rsid w:val="0076510D"/>
    <w:rsid w:val="00A068D8"/>
    <w:rsid w:val="00A34827"/>
    <w:rsid w:val="00A97D2C"/>
    <w:rsid w:val="00B05560"/>
    <w:rsid w:val="00BB2ED0"/>
    <w:rsid w:val="00D42656"/>
    <w:rsid w:val="00D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F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0D"/>
    <w:pPr>
      <w:ind w:left="720"/>
      <w:contextualSpacing/>
    </w:pPr>
  </w:style>
  <w:style w:type="table" w:styleId="TableGrid">
    <w:name w:val="Table Grid"/>
    <w:basedOn w:val="TableNormal"/>
    <w:uiPriority w:val="59"/>
    <w:rsid w:val="0063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8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F9"/>
  </w:style>
  <w:style w:type="paragraph" w:styleId="Footer">
    <w:name w:val="footer"/>
    <w:basedOn w:val="Normal"/>
    <w:link w:val="FooterChar"/>
    <w:uiPriority w:val="99"/>
    <w:unhideWhenUsed/>
    <w:rsid w:val="00422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0D"/>
    <w:pPr>
      <w:ind w:left="720"/>
      <w:contextualSpacing/>
    </w:pPr>
  </w:style>
  <w:style w:type="table" w:styleId="TableGrid">
    <w:name w:val="Table Grid"/>
    <w:basedOn w:val="TableNormal"/>
    <w:uiPriority w:val="59"/>
    <w:rsid w:val="0063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8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F9"/>
  </w:style>
  <w:style w:type="paragraph" w:styleId="Footer">
    <w:name w:val="footer"/>
    <w:basedOn w:val="Normal"/>
    <w:link w:val="FooterChar"/>
    <w:uiPriority w:val="99"/>
    <w:unhideWhenUsed/>
    <w:rsid w:val="00422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facebook.com/TrinitasOsteopathicClinic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Baker</dc:creator>
  <cp:keywords/>
  <dc:description/>
  <cp:lastModifiedBy>Carol Baker</cp:lastModifiedBy>
  <cp:revision>7</cp:revision>
  <cp:lastPrinted>2020-01-10T13:25:00Z</cp:lastPrinted>
  <dcterms:created xsi:type="dcterms:W3CDTF">2020-01-10T13:25:00Z</dcterms:created>
  <dcterms:modified xsi:type="dcterms:W3CDTF">2020-05-03T12:25:00Z</dcterms:modified>
</cp:coreProperties>
</file>